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0B0F8" w14:textId="16759BA7" w:rsidR="00426B77" w:rsidRPr="00AF73B5" w:rsidRDefault="00426B77" w:rsidP="00426B77">
      <w:pPr>
        <w:spacing w:after="0"/>
        <w:jc w:val="right"/>
        <w:rPr>
          <w:rFonts w:eastAsia="Times New Roman" w:cs="Times New Roman"/>
          <w:b/>
          <w:bCs/>
          <w:sz w:val="26"/>
          <w:szCs w:val="26"/>
          <w:lang w:val="uk-UA" w:eastAsia="ru-RU"/>
        </w:rPr>
      </w:pPr>
      <w:r w:rsidRPr="00AF73B5">
        <w:rPr>
          <w:rFonts w:eastAsia="Times New Roman" w:cs="Times New Roman"/>
          <w:b/>
          <w:bCs/>
          <w:sz w:val="26"/>
          <w:szCs w:val="26"/>
          <w:lang w:val="uk-UA" w:eastAsia="ru-RU"/>
        </w:rPr>
        <w:t>Додаток 1</w:t>
      </w:r>
    </w:p>
    <w:p w14:paraId="2D76E11B" w14:textId="033208EB" w:rsidR="00AE6C1B" w:rsidRPr="00AF73B5" w:rsidRDefault="00426B77" w:rsidP="00426B77">
      <w:pPr>
        <w:spacing w:after="0"/>
        <w:jc w:val="right"/>
        <w:rPr>
          <w:rFonts w:eastAsia="Times New Roman" w:cs="Times New Roman"/>
          <w:b/>
          <w:bCs/>
          <w:sz w:val="26"/>
          <w:szCs w:val="26"/>
          <w:lang w:val="uk-UA" w:eastAsia="ru-RU"/>
        </w:rPr>
      </w:pPr>
      <w:r w:rsidRPr="00AF73B5">
        <w:rPr>
          <w:rFonts w:eastAsia="Times New Roman" w:cs="Times New Roman"/>
          <w:b/>
          <w:bCs/>
          <w:sz w:val="26"/>
          <w:szCs w:val="26"/>
          <w:lang w:val="uk-UA" w:eastAsia="ru-RU"/>
        </w:rPr>
        <w:t>до Методики</w:t>
      </w:r>
    </w:p>
    <w:p w14:paraId="43E37835" w14:textId="77777777" w:rsidR="00AE6C1B" w:rsidRPr="00AF73B5" w:rsidRDefault="00AE6C1B" w:rsidP="00D225D6">
      <w:pPr>
        <w:spacing w:after="0"/>
        <w:rPr>
          <w:rFonts w:eastAsia="Times New Roman" w:cs="Times New Roman"/>
          <w:sz w:val="26"/>
          <w:szCs w:val="26"/>
          <w:lang w:val="uk-UA" w:eastAsia="ru-RU"/>
        </w:rPr>
      </w:pPr>
    </w:p>
    <w:p w14:paraId="4B5EF37F" w14:textId="77777777" w:rsidR="00AE6C1B" w:rsidRPr="00AF73B5" w:rsidRDefault="00AE6C1B" w:rsidP="00D225D6">
      <w:pPr>
        <w:spacing w:after="0"/>
        <w:rPr>
          <w:rFonts w:eastAsia="Times New Roman" w:cs="Times New Roman"/>
          <w:sz w:val="26"/>
          <w:szCs w:val="26"/>
          <w:lang w:val="uk-UA" w:eastAsia="ru-RU"/>
        </w:rPr>
      </w:pPr>
    </w:p>
    <w:p w14:paraId="1C9DC242" w14:textId="1F432C1C" w:rsidR="00327558" w:rsidRPr="00AF73B5" w:rsidRDefault="00D225D6" w:rsidP="00327558">
      <w:pPr>
        <w:spacing w:after="0"/>
        <w:jc w:val="center"/>
        <w:rPr>
          <w:rFonts w:cs="Times New Roman"/>
          <w:b/>
          <w:bCs/>
          <w:sz w:val="26"/>
          <w:szCs w:val="26"/>
          <w:shd w:val="clear" w:color="auto" w:fill="FFFFFF"/>
          <w:lang w:val="uk-UA"/>
        </w:rPr>
      </w:pPr>
      <w:bookmarkStart w:id="0" w:name="n76"/>
      <w:bookmarkEnd w:id="0"/>
      <w:r w:rsidRPr="00AF73B5">
        <w:rPr>
          <w:rFonts w:eastAsia="Times New Roman" w:cs="Times New Roman"/>
          <w:b/>
          <w:bCs/>
          <w:sz w:val="26"/>
          <w:szCs w:val="26"/>
          <w:lang w:eastAsia="ru-RU"/>
        </w:rPr>
        <w:t>ОРЕНДНІ</w:t>
      </w:r>
      <w:r w:rsidRPr="00AF73B5">
        <w:rPr>
          <w:rFonts w:eastAsia="Times New Roman" w:cs="Times New Roman"/>
          <w:sz w:val="26"/>
          <w:szCs w:val="26"/>
          <w:lang w:eastAsia="ru-RU"/>
        </w:rPr>
        <w:br/>
      </w:r>
      <w:r w:rsidRPr="00AF73B5">
        <w:rPr>
          <w:rFonts w:eastAsia="Times New Roman" w:cs="Times New Roman"/>
          <w:b/>
          <w:bCs/>
          <w:sz w:val="26"/>
          <w:szCs w:val="26"/>
          <w:lang w:eastAsia="ru-RU"/>
        </w:rPr>
        <w:t xml:space="preserve">ставки для </w:t>
      </w:r>
      <w:proofErr w:type="spellStart"/>
      <w:r w:rsidRPr="00AF73B5">
        <w:rPr>
          <w:rFonts w:eastAsia="Times New Roman" w:cs="Times New Roman"/>
          <w:b/>
          <w:bCs/>
          <w:sz w:val="26"/>
          <w:szCs w:val="26"/>
          <w:lang w:eastAsia="ru-RU"/>
        </w:rPr>
        <w:t>договорів</w:t>
      </w:r>
      <w:proofErr w:type="spellEnd"/>
      <w:r w:rsidRPr="00AF73B5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AF73B5">
        <w:rPr>
          <w:rFonts w:eastAsia="Times New Roman" w:cs="Times New Roman"/>
          <w:b/>
          <w:bCs/>
          <w:sz w:val="26"/>
          <w:szCs w:val="26"/>
          <w:lang w:eastAsia="ru-RU"/>
        </w:rPr>
        <w:t>оренди</w:t>
      </w:r>
      <w:proofErr w:type="spellEnd"/>
      <w:r w:rsidRPr="00AF73B5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  <w:r w:rsidR="00D21711" w:rsidRPr="00AF73B5">
        <w:rPr>
          <w:rFonts w:eastAsia="Times New Roman" w:cs="Times New Roman"/>
          <w:b/>
          <w:bCs/>
          <w:sz w:val="26"/>
          <w:szCs w:val="26"/>
          <w:lang w:val="uk-UA" w:eastAsia="ru-RU"/>
        </w:rPr>
        <w:t>майна</w:t>
      </w:r>
      <w:r w:rsidR="00327558" w:rsidRPr="00AF73B5">
        <w:rPr>
          <w:rFonts w:eastAsia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327558" w:rsidRPr="00AF73B5">
        <w:rPr>
          <w:rFonts w:cs="Times New Roman"/>
          <w:b/>
          <w:bCs/>
          <w:sz w:val="26"/>
          <w:szCs w:val="26"/>
          <w:shd w:val="clear" w:color="auto" w:fill="FFFFFF"/>
          <w:lang w:val="uk-UA"/>
        </w:rPr>
        <w:t>спільної власності</w:t>
      </w:r>
    </w:p>
    <w:p w14:paraId="6B321280" w14:textId="77777777" w:rsidR="00327558" w:rsidRPr="00AF73B5" w:rsidRDefault="00327558" w:rsidP="00327558">
      <w:pPr>
        <w:spacing w:after="0"/>
        <w:jc w:val="center"/>
        <w:rPr>
          <w:rFonts w:cs="Times New Roman"/>
          <w:b/>
          <w:bCs/>
          <w:sz w:val="26"/>
          <w:szCs w:val="26"/>
          <w:shd w:val="clear" w:color="auto" w:fill="FFFFFF"/>
          <w:lang w:val="uk-UA"/>
        </w:rPr>
      </w:pPr>
      <w:r w:rsidRPr="00AF73B5">
        <w:rPr>
          <w:rFonts w:cs="Times New Roman"/>
          <w:b/>
          <w:bCs/>
          <w:sz w:val="26"/>
          <w:szCs w:val="26"/>
          <w:shd w:val="clear" w:color="auto" w:fill="FFFFFF"/>
          <w:lang w:val="uk-UA"/>
        </w:rPr>
        <w:t>територіальних громад сіл, селищ,</w:t>
      </w:r>
    </w:p>
    <w:p w14:paraId="2B9106C5" w14:textId="7AFC9F00" w:rsidR="00D225D6" w:rsidRPr="00AF73B5" w:rsidRDefault="00327558" w:rsidP="00327558">
      <w:pPr>
        <w:shd w:val="clear" w:color="auto" w:fill="FFFFFF"/>
        <w:spacing w:after="0"/>
        <w:ind w:left="450" w:right="450"/>
        <w:jc w:val="center"/>
        <w:rPr>
          <w:rFonts w:eastAsia="Times New Roman" w:cs="Times New Roman"/>
          <w:sz w:val="26"/>
          <w:szCs w:val="26"/>
          <w:lang w:val="uk-UA" w:eastAsia="ru-RU"/>
        </w:rPr>
      </w:pPr>
      <w:r w:rsidRPr="00AF73B5">
        <w:rPr>
          <w:rFonts w:cs="Times New Roman"/>
          <w:b/>
          <w:bCs/>
          <w:sz w:val="26"/>
          <w:szCs w:val="26"/>
          <w:shd w:val="clear" w:color="auto" w:fill="FFFFFF"/>
          <w:lang w:val="uk-UA"/>
        </w:rPr>
        <w:t>міст Волинської області</w:t>
      </w:r>
    </w:p>
    <w:tbl>
      <w:tblPr>
        <w:tblW w:w="5000" w:type="pct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50"/>
        <w:gridCol w:w="2488"/>
      </w:tblGrid>
      <w:tr w:rsidR="00D225D6" w:rsidRPr="00AF73B5" w14:paraId="4222D01C" w14:textId="77777777" w:rsidTr="00D225D6">
        <w:trPr>
          <w:jc w:val="center"/>
        </w:trPr>
        <w:tc>
          <w:tcPr>
            <w:tcW w:w="191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75BD79EC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bookmarkStart w:id="1" w:name="n243"/>
            <w:bookmarkEnd w:id="1"/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Орендарі</w:t>
            </w:r>
            <w:proofErr w:type="spellEnd"/>
          </w:p>
        </w:tc>
        <w:tc>
          <w:tcPr>
            <w:tcW w:w="63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0FB4215" w14:textId="7925CF99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Орендна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ставка,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відсотк</w:t>
            </w:r>
            <w:proofErr w:type="spellEnd"/>
            <w:r w:rsidR="00C45075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и</w:t>
            </w:r>
          </w:p>
        </w:tc>
      </w:tr>
      <w:tr w:rsidR="00D225D6" w:rsidRPr="00AF73B5" w14:paraId="16D4B73C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550FE" w14:textId="35014AF1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1.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науково-практичних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культурних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мистецьких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суспільних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політичних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заходів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 строк</w:t>
            </w:r>
            <w:proofErr w:type="gram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proofErr w:type="gram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  30</w:t>
            </w:r>
            <w:proofErr w:type="gram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календарних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днів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протягом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одного року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щодо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кожного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орендаря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балансоутримувачем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є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державне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комунальне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підприємство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установа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провадить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діяльність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конгресів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торговельних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виставок</w:t>
            </w:r>
            <w:proofErr w:type="spellEnd"/>
          </w:p>
          <w:p w14:paraId="4C9689A7" w14:textId="2B2ED3A8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BBBE9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D225D6" w:rsidRPr="00AF73B5" w14:paraId="58A9473C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9F951" w14:textId="0DA4D220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Приватні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суб’єкти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мають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ліцензію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освітніх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відповідній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визначених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 пунктах</w:t>
            </w:r>
            <w:proofErr w:type="gram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11 та 18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цього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додатка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), 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використовується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ліцензійних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</w:p>
          <w:p w14:paraId="79862740" w14:textId="3E7A973E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CB3C5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D225D6" w:rsidRPr="00AF73B5" w14:paraId="5533275B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5ECEA" w14:textId="071DCF8C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3.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науково-практичних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культурних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мистецьких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суспільних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політичних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заходів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 строк</w:t>
            </w:r>
            <w:proofErr w:type="gram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п’яти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календарних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днів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протягом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шести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місяців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а також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щодо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майна, яке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передається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суб’єктам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виборчого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процесу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метою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публічних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заходів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зборів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дебатів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дискусій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час та 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період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виборчої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кампанії</w:t>
            </w:r>
            <w:proofErr w:type="spellEnd"/>
          </w:p>
          <w:p w14:paraId="711EAB40" w14:textId="77777777" w:rsidR="00C45075" w:rsidRPr="00AF73B5" w:rsidRDefault="00C45075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CAA04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D225D6" w:rsidRPr="00AF73B5" w14:paraId="0D2E985B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9A7F9" w14:textId="1DAFF0FF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4.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Державні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підприємства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установи,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культури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мистецтв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(у тому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числі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національні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творчі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спілки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їх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члени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творчі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майстерні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)</w:t>
            </w:r>
            <w:r w:rsidR="00941047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, що частково утримуються за рахунок державного або місцевого бюджету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DD419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225D6" w:rsidRPr="00AF73B5" w14:paraId="20038FD8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7834B" w14:textId="7BEFADE4" w:rsidR="00D225D6" w:rsidRPr="00AF73B5" w:rsidRDefault="00D225D6" w:rsidP="000E629F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4C2D8" w14:textId="34EEFFC3" w:rsidR="00D225D6" w:rsidRPr="00AF73B5" w:rsidRDefault="00D225D6" w:rsidP="00E118F7">
            <w:pPr>
              <w:spacing w:after="0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D225D6" w:rsidRPr="00AF73B5" w14:paraId="1AFCCA2C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3280C" w14:textId="01BD36E4" w:rsidR="00D225D6" w:rsidRPr="00AF73B5" w:rsidRDefault="00E118F7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5</w:t>
            </w:r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Державні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видавництва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підприємства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книгорозповсюдження</w:t>
            </w:r>
            <w:proofErr w:type="spellEnd"/>
          </w:p>
          <w:p w14:paraId="43B20DDD" w14:textId="77C8CB20" w:rsidR="00C45075" w:rsidRPr="00AF73B5" w:rsidRDefault="00C45075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AB134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225D6" w:rsidRPr="00AF73B5" w14:paraId="2DB3A145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4A8E3" w14:textId="3041937F" w:rsidR="005C7879" w:rsidRPr="002B7D4D" w:rsidRDefault="00E118F7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6</w:t>
            </w:r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6A6A17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Вітчизняні видавництва та підприємства книгорозповсюдження, що забезпечують підготовку, випуск та (або) розповсюдження не менш як 50 відсотків книжкової продукції державною мовою (за винятком видань рекламного та еротичного характеру)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0016D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225D6" w:rsidRPr="00AF73B5" w14:paraId="15959229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19741" w14:textId="2C24C580" w:rsidR="00D225D6" w:rsidRPr="00AF73B5" w:rsidRDefault="002B7D4D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val="uk-UA" w:eastAsia="ru-RU"/>
              </w:rPr>
              <w:lastRenderedPageBreak/>
              <w:t>7</w:t>
            </w:r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Дипломатичні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представництва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консульські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установи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іноземних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держав,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представництва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міжнародних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організацій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Україні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договорів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орендна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плата за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якими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врегульована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міжнародними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договорами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України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згода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обов’язковість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яких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надана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Верховною Радою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України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)</w:t>
            </w:r>
          </w:p>
          <w:p w14:paraId="5F3E9268" w14:textId="203AB8CE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37E6A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AF73B5" w14:paraId="3FBC3DE7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6487C" w14:textId="7F6A99B7" w:rsidR="00D225D6" w:rsidRPr="00AF73B5" w:rsidRDefault="002B7D4D" w:rsidP="000418D4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val="uk-UA" w:eastAsia="ru-RU"/>
              </w:rPr>
              <w:t>8</w:t>
            </w:r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Державні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частково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фінансуються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державного бюджету, та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118F7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частково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фінансуються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місцевого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бюджету,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мають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ліцензію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провадження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освітньої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відповідній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суб’єктів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визначених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пункті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18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цього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додатка</w:t>
            </w:r>
            <w:proofErr w:type="spellEnd"/>
            <w:r w:rsidR="000418D4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0418D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та </w:t>
            </w:r>
            <w:proofErr w:type="spellStart"/>
            <w:r w:rsidR="000418D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визначених</w:t>
            </w:r>
            <w:proofErr w:type="spellEnd"/>
            <w:r w:rsidR="000418D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="000418D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пункті</w:t>
            </w:r>
            <w:proofErr w:type="spellEnd"/>
            <w:r w:rsidR="000418D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13</w:t>
            </w:r>
            <w:r w:rsidR="000418D4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0418D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цієї</w:t>
            </w:r>
            <w:proofErr w:type="spellEnd"/>
            <w:r w:rsidR="000418D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Методики</w:t>
            </w:r>
            <w:r w:rsidR="000418D4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)</w:t>
            </w:r>
          </w:p>
          <w:p w14:paraId="2614E6DE" w14:textId="680705B3" w:rsidR="005C7879" w:rsidRPr="00AF73B5" w:rsidRDefault="005C7879" w:rsidP="000418D4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9A06D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AF73B5" w14:paraId="6878F957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5CB0C" w14:textId="680F15C9" w:rsidR="00D225D6" w:rsidRPr="00AF73B5" w:rsidRDefault="002B7D4D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val="uk-UA" w:eastAsia="ru-RU"/>
              </w:rPr>
              <w:t>9</w:t>
            </w:r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мають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ліцензію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провадження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освітньої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засновані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неприбутковими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громадськими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об’єднаннями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отримують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державне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фінансування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держав -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членів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ЄС</w:t>
            </w:r>
          </w:p>
          <w:p w14:paraId="339FAB9F" w14:textId="09E7A7F9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7D166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AF73B5" w14:paraId="69FA260A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FC732" w14:textId="60D1E677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0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Приватні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загальної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середньої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суб’єкти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),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мають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ліцензію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провадження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освітньої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відповідній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використовується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ліцензійних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</w:p>
          <w:p w14:paraId="04025CCB" w14:textId="54EB5E27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E9795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AF73B5" w14:paraId="4322B71E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78816" w14:textId="1AE714E6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1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Установи і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діяльність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частково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фінансується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рахунок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державного бюджету,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місцевого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самоврядування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їх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добровільні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об’єднання</w:t>
            </w:r>
            <w:proofErr w:type="spellEnd"/>
            <w:r w:rsidR="003C5C19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(крім визначених у пункті 13 Методики)</w:t>
            </w:r>
          </w:p>
          <w:p w14:paraId="3C923196" w14:textId="7CD99A88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52D2B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AF73B5" w14:paraId="00D2A466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E578C" w14:textId="255A22D1" w:rsidR="008B4D6C" w:rsidRPr="00AF73B5" w:rsidRDefault="00D225D6" w:rsidP="000418D4">
            <w:pPr>
              <w:spacing w:after="0"/>
              <w:jc w:val="both"/>
              <w:rPr>
                <w:rFonts w:eastAsia="Times New Roman" w:cs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2B7D4D">
              <w:rPr>
                <w:rFonts w:eastAsia="Times New Roman" w:cs="Times New Roman"/>
                <w:color w:val="000000" w:themeColor="text1"/>
                <w:sz w:val="26"/>
                <w:szCs w:val="26"/>
                <w:lang w:val="uk-UA" w:eastAsia="ru-RU"/>
              </w:rPr>
              <w:t>2</w:t>
            </w:r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. </w:t>
            </w:r>
            <w:r w:rsidR="00AE6C1B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val="uk-UA" w:eastAsia="ru-RU"/>
              </w:rPr>
              <w:t>Комуналь</w:t>
            </w:r>
            <w:r w:rsidR="00EF519D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val="uk-UA" w:eastAsia="ru-RU"/>
              </w:rPr>
              <w:t xml:space="preserve">ні </w:t>
            </w:r>
            <w:proofErr w:type="spellStart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заклади</w:t>
            </w:r>
            <w:proofErr w:type="spellEnd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охорони</w:t>
            </w:r>
            <w:proofErr w:type="spellEnd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здоров’я</w:t>
            </w:r>
            <w:proofErr w:type="spellEnd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які</w:t>
            </w:r>
            <w:proofErr w:type="spellEnd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утримуються</w:t>
            </w:r>
            <w:proofErr w:type="spellEnd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рахунок</w:t>
            </w:r>
            <w:proofErr w:type="spellEnd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AE6C1B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val="uk-UA" w:eastAsia="ru-RU"/>
              </w:rPr>
              <w:t>місцев</w:t>
            </w:r>
            <w:r w:rsidR="00EF519D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val="uk-UA" w:eastAsia="ru-RU"/>
              </w:rPr>
              <w:t xml:space="preserve">ого </w:t>
            </w:r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бюджет</w:t>
            </w:r>
            <w:r w:rsidR="00506CC5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val="uk-UA" w:eastAsia="ru-RU"/>
              </w:rPr>
              <w:t xml:space="preserve">у </w:t>
            </w:r>
            <w:r w:rsidR="000418D4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proofErr w:type="spellStart"/>
            <w:r w:rsidR="000418D4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крім</w:t>
            </w:r>
            <w:proofErr w:type="spellEnd"/>
            <w:r w:rsidR="000418D4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0418D4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визначених</w:t>
            </w:r>
            <w:proofErr w:type="spellEnd"/>
            <w:r w:rsidR="000418D4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="000418D4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пункті</w:t>
            </w:r>
            <w:proofErr w:type="spellEnd"/>
            <w:r w:rsidR="000418D4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13</w:t>
            </w:r>
            <w:r w:rsidR="000418D4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proofErr w:type="spellStart"/>
            <w:r w:rsidR="000418D4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цієї</w:t>
            </w:r>
            <w:proofErr w:type="spellEnd"/>
            <w:r w:rsidR="000418D4"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Методики)</w:t>
            </w:r>
          </w:p>
          <w:p w14:paraId="25D7D457" w14:textId="70FD1F21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9CA4C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AF73B5" w14:paraId="1051E9BC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F710E" w14:textId="40A2797C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3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bookmarkStart w:id="2" w:name="_Hlk188341902"/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Музеї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тих,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повністю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фінансуються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рахунок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0418D4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обласн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ого бюджету</w:t>
            </w:r>
            <w:bookmarkEnd w:id="2"/>
          </w:p>
          <w:p w14:paraId="2BF987EA" w14:textId="5F81C942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FF1F4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AF73B5" w14:paraId="524CABCB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90D1E" w14:textId="441C2D8D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4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об’єднання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фізкультурно-спортивної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спрямованості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є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неприбутковими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організаціями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внесеними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Реєстру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неприбуткових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організацій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утворені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ними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клуби (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клубів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займаються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професійним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спортом),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дитячо-юнацькі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школи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школи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вищої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майстерності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центри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олімпійської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підготовки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центри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студентського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спорту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вищої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центри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фізичної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культури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спорту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інвалідністю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є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неприбутковими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організаціями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внесеними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Реєстру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неприбуткових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організацій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-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виключно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заходів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фізкультурно-спортивних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</w:p>
          <w:p w14:paraId="31808317" w14:textId="4F00EF5D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1C483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</w:tr>
      <w:tr w:rsidR="00D225D6" w:rsidRPr="00AF73B5" w14:paraId="3A6DF6FB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C0CF6" w14:textId="5A2490F3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5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Державні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клуби,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дитячо-юнацькі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школи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школи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вищої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спортивної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майстерності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центри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олімпійської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підготовки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центри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студентського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спорту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вищої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фізкультурно-оздоровчі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центри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фізичного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здоров’я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населення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центри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фізичної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культури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і спорту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інвалідністю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а також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бази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олімпійської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паралімпійської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дефлімпійської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підготовки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орендарів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зазначених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 </w:t>
            </w:r>
            <w:proofErr w:type="spellStart"/>
            <w:r w:rsidRPr="00AF73B5">
              <w:rPr>
                <w:rFonts w:cs="Times New Roman"/>
                <w:sz w:val="26"/>
                <w:szCs w:val="26"/>
              </w:rPr>
              <w:fldChar w:fldCharType="begin"/>
            </w:r>
            <w:r w:rsidRPr="00AF73B5">
              <w:rPr>
                <w:rFonts w:cs="Times New Roman"/>
                <w:sz w:val="26"/>
                <w:szCs w:val="26"/>
              </w:rPr>
              <w:instrText>HYPERLINK "https://zakon.rada.gov.ua/laws/show/630-2021-%D0%BF/print" \l "n49"</w:instrText>
            </w:r>
            <w:r w:rsidRPr="00AF73B5">
              <w:rPr>
                <w:rFonts w:cs="Times New Roman"/>
                <w:sz w:val="26"/>
                <w:szCs w:val="26"/>
              </w:rPr>
            </w:r>
            <w:r w:rsidRPr="00AF73B5">
              <w:rPr>
                <w:rFonts w:cs="Times New Roman"/>
                <w:sz w:val="26"/>
                <w:szCs w:val="26"/>
              </w:rPr>
              <w:fldChar w:fldCharType="separate"/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пункті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13</w:t>
            </w:r>
            <w:r w:rsidRPr="00AF73B5">
              <w:rPr>
                <w:rFonts w:cs="Times New Roman"/>
                <w:sz w:val="26"/>
                <w:szCs w:val="26"/>
              </w:rPr>
              <w:fldChar w:fldCharType="end"/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цієї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Методики)</w:t>
            </w:r>
          </w:p>
          <w:p w14:paraId="626776E7" w14:textId="5C99266B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97082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AF73B5" w14:paraId="7B40B6CF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916C9" w14:textId="05CB5E42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2B7D4D">
              <w:rPr>
                <w:rFonts w:eastAsia="Times New Roman" w:cs="Times New Roman"/>
                <w:color w:val="000000" w:themeColor="text1"/>
                <w:sz w:val="26"/>
                <w:szCs w:val="26"/>
                <w:lang w:val="uk-UA" w:eastAsia="ru-RU"/>
              </w:rPr>
              <w:t>6</w:t>
            </w:r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>Комунальні</w:t>
            </w:r>
            <w:proofErr w:type="spellEnd"/>
            <w:r w:rsidRPr="00AF73B5">
              <w:rPr>
                <w:rFonts w:eastAsia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охорони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здоров’я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утримуються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рахунок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місцевих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бюджетів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некомерційні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підприємства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утворилися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результаті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реорганізації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охорони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здоров’я</w:t>
            </w:r>
            <w:proofErr w:type="spellEnd"/>
            <w:r w:rsidR="00264731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264731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r w:rsidR="00264731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="00264731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264731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визначених</w:t>
            </w:r>
            <w:proofErr w:type="spellEnd"/>
            <w:r w:rsidR="00264731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="00264731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пункті</w:t>
            </w:r>
            <w:proofErr w:type="spellEnd"/>
            <w:r w:rsidR="00264731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13 </w:t>
            </w:r>
            <w:proofErr w:type="spellStart"/>
            <w:r w:rsidR="00264731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цієї</w:t>
            </w:r>
            <w:proofErr w:type="spellEnd"/>
            <w:r w:rsidR="00264731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Методики)</w:t>
            </w:r>
          </w:p>
          <w:p w14:paraId="27A8C72A" w14:textId="1EF615C6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D50C8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AF73B5" w14:paraId="0F4A19D1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4D294" w14:textId="1F12255A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7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Заклади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засновані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будь-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якій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формі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власності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суб’єкти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підприємницької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діяльності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мають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ліцензію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освітніх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сфері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дошкільної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освіти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використовується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надання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ліцензійних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  <w:r w:rsidR="00225F1F" w:rsidRPr="00AF73B5">
              <w:rPr>
                <w:rFonts w:cs="Times New Roman"/>
                <w:sz w:val="26"/>
                <w:szCs w:val="26"/>
              </w:rPr>
              <w:t xml:space="preserve"> </w:t>
            </w:r>
            <w:r w:rsidR="00225F1F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r w:rsidR="00225F1F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="00225F1F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225F1F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визначених</w:t>
            </w:r>
            <w:proofErr w:type="spellEnd"/>
            <w:r w:rsidR="00225F1F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 </w:t>
            </w:r>
            <w:proofErr w:type="spellStart"/>
            <w:r w:rsidR="00225F1F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пункті</w:t>
            </w:r>
            <w:proofErr w:type="spellEnd"/>
            <w:r w:rsidR="00225F1F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13 </w:t>
            </w:r>
            <w:proofErr w:type="spellStart"/>
            <w:r w:rsidR="00225F1F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цієї</w:t>
            </w:r>
            <w:proofErr w:type="spellEnd"/>
            <w:r w:rsidR="00225F1F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Методики)</w:t>
            </w:r>
          </w:p>
          <w:p w14:paraId="7CB21F34" w14:textId="7CFBFA4D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3FF68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225D6" w:rsidRPr="00AF73B5" w14:paraId="0AD6E42D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20F48" w14:textId="3CB9E17C" w:rsidR="00DF27B8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8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Надавачі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соціальних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включені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Реєстру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надавачів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отримувачів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соціальних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послуг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відповідно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 Закону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України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3E34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«</w:t>
            </w:r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Про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соціальні</w:t>
            </w:r>
            <w:proofErr w:type="spellEnd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AE6C1B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послуги</w:t>
            </w:r>
            <w:proofErr w:type="spellEnd"/>
            <w:r w:rsidR="00A53E34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» </w:t>
            </w:r>
            <w:r w:rsidR="00DF27B8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та підприємства, установи, організації, що надають соціально важливі послуги населенню територіальних громад сіл, селищ, міст області</w:t>
            </w:r>
          </w:p>
          <w:p w14:paraId="28CD2305" w14:textId="767D4976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54437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225D6" w:rsidRPr="00AF73B5" w14:paraId="619318C0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C3EED" w14:textId="69B2EEFF" w:rsidR="00D225D6" w:rsidRPr="00AF73B5" w:rsidRDefault="002B7D4D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val="uk-UA" w:eastAsia="ru-RU"/>
              </w:rPr>
              <w:t>19</w:t>
            </w:r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Релігійні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релігійних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обрядів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церемоній</w:t>
            </w:r>
            <w:proofErr w:type="spellEnd"/>
            <w:r w:rsidR="00D225D6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70D3A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AF73B5" w14:paraId="4472225C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95DCE" w14:textId="6DBA2703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більш</w:t>
            </w:r>
            <w:proofErr w:type="spellEnd"/>
            <w:r w:rsidR="00A53E34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е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3E34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ніж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50 кв.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0A2CB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AF73B5" w14:paraId="5FBEA108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CEA60" w14:textId="39CE6FBD" w:rsidR="005C7879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частині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50 кв.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8659A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25D6" w:rsidRPr="00AF73B5" w14:paraId="4F8FC39C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492D0" w14:textId="3B07FEF1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0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Народні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депутати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України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депутати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місцевих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рад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приймальні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у тому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числі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коли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договір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оренди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від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імені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депутата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укладається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громадською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організацією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інтересах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депутата і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його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депутатської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приймальні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крім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випадків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коли в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інтересах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народного депутата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України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діє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уповноважений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орган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Верховної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Ради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України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в такому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разі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застосовується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  <w:hyperlink r:id="rId8" w:anchor="n49" w:history="1">
              <w:r w:rsidRPr="00AF73B5">
                <w:rPr>
                  <w:rFonts w:eastAsia="Times New Roman" w:cs="Times New Roman"/>
                  <w:sz w:val="26"/>
                  <w:szCs w:val="26"/>
                  <w:lang w:eastAsia="ru-RU"/>
                </w:rPr>
                <w:t>пункт 13</w:t>
              </w:r>
            </w:hyperlink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цієї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Методики):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1066A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AF73B5" w14:paraId="7D4F5E81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00CDD" w14:textId="4131FD7B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більш</w:t>
            </w:r>
            <w:proofErr w:type="spellEnd"/>
            <w:r w:rsidR="00A53E34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е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3E34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ніж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50 кв.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A6847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D225D6" w:rsidRPr="00AF73B5" w14:paraId="68E774D8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46013" w14:textId="3FA16EB7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частині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50 кв.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68E97EA9" w14:textId="7B443FAF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D06B7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25D6" w:rsidRPr="00AF73B5" w14:paraId="043EC2A0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A5E8F" w14:textId="7F4E1A2C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1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Громадські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ветеранів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реабілітаційних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ветеранів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A507D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AF73B5" w14:paraId="0B61AF61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D274C" w14:textId="515A387F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3E3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</w:t>
            </w:r>
            <w:proofErr w:type="spellStart"/>
            <w:r w:rsidR="00A53E3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більше</w:t>
            </w:r>
            <w:proofErr w:type="spellEnd"/>
            <w:r w:rsidR="00A53E3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A53E3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ніж</w:t>
            </w:r>
            <w:proofErr w:type="spellEnd"/>
            <w:r w:rsidR="00A53E34"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100 кв.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99122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225D6" w:rsidRPr="00AF73B5" w14:paraId="1D3A4B5B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59C5A" w14:textId="2F214024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частині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100 кв.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3D91D08A" w14:textId="5836A58C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A0FBB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25D6" w:rsidRPr="00AF73B5" w14:paraId="33AA8565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9B467" w14:textId="5E775779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2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Реабілітаційні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установи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осіб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інвалідністю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дітей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з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інвалідністю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розміщення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таких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реабілітаційних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установ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AC529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225D6" w:rsidRPr="00AF73B5" w14:paraId="199DAE4B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C42D1" w14:textId="77777777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більш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як 100 кв.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C1E92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225D6" w:rsidRPr="00AF73B5" w14:paraId="6FC03C4A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E9F29" w14:textId="29A680DE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частині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площі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що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перевищує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100 кв.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метрів</w:t>
            </w:r>
            <w:proofErr w:type="spellEnd"/>
          </w:p>
          <w:p w14:paraId="51343243" w14:textId="24DBFFFD" w:rsidR="005C7879" w:rsidRPr="00AF73B5" w:rsidRDefault="005C7879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904F6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225D6" w:rsidRPr="00AF73B5" w14:paraId="2F5BA99C" w14:textId="77777777" w:rsidTr="00D225D6">
        <w:trPr>
          <w:jc w:val="center"/>
        </w:trPr>
        <w:tc>
          <w:tcPr>
            <w:tcW w:w="191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D9D59" w14:textId="43206DCB" w:rsidR="00D225D6" w:rsidRPr="00AF73B5" w:rsidRDefault="00D225D6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3</w:t>
            </w: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Релігійні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організації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релігійних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обрядів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церемоній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які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момент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введення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в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дію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  <w:hyperlink r:id="rId9" w:tgtFrame="_blank" w:history="1">
              <w:r w:rsidRPr="00AF73B5">
                <w:rPr>
                  <w:rFonts w:eastAsia="Times New Roman" w:cs="Times New Roman"/>
                  <w:sz w:val="26"/>
                  <w:szCs w:val="26"/>
                  <w:lang w:eastAsia="ru-RU"/>
                </w:rPr>
                <w:t xml:space="preserve">Закону </w:t>
              </w:r>
              <w:proofErr w:type="spellStart"/>
              <w:r w:rsidRPr="00AF73B5">
                <w:rPr>
                  <w:rFonts w:eastAsia="Times New Roman" w:cs="Times New Roman"/>
                  <w:sz w:val="26"/>
                  <w:szCs w:val="26"/>
                  <w:lang w:eastAsia="ru-RU"/>
                </w:rPr>
                <w:t>України</w:t>
              </w:r>
              <w:proofErr w:type="spellEnd"/>
            </w:hyperlink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 “Про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оренду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державного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комунального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майна”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безоплатно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використовували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об’єкт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оренди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підставі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договору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позички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або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іншого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договору для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проведення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релігійних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обрядів</w:t>
            </w:r>
            <w:proofErr w:type="spellEnd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церемоній</w:t>
            </w:r>
            <w:proofErr w:type="spellEnd"/>
          </w:p>
          <w:p w14:paraId="0BCCA174" w14:textId="77777777" w:rsidR="00D5100E" w:rsidRPr="00AF73B5" w:rsidRDefault="00D5100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3CD5C471" w14:textId="5CE87F18" w:rsidR="00D5100E" w:rsidRPr="00AF73B5" w:rsidRDefault="00D5100E" w:rsidP="000C5F2B">
            <w:pPr>
              <w:spacing w:after="0"/>
              <w:jc w:val="both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2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4</w:t>
            </w:r>
            <w:r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. 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Г</w:t>
            </w:r>
            <w:r w:rsidR="002B7D4D" w:rsidRP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ромадські організації у сфері культури і мистецтв (у тому числі національні творчі спілки або їх члени під творчі майстерні)</w:t>
            </w:r>
            <w:r w:rsidR="002B7D4D">
              <w:rPr>
                <w:rFonts w:eastAsia="Times New Roman" w:cs="Times New Roman"/>
                <w:sz w:val="26"/>
                <w:szCs w:val="26"/>
                <w:lang w:val="uk-UA" w:eastAsia="ru-RU"/>
              </w:rPr>
              <w:t>, г</w:t>
            </w:r>
            <w:r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ромадські об’єднання</w:t>
            </w:r>
            <w:r w:rsidR="00D46028"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, організації</w:t>
            </w:r>
            <w:r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, благодійні організації для тимчасового проживання внутрішньо переміщених осіб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46162" w14:textId="77777777" w:rsidR="00D225D6" w:rsidRPr="00AF73B5" w:rsidRDefault="00D225D6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eastAsia="ru-RU"/>
              </w:rPr>
              <w:t>0,01</w:t>
            </w:r>
          </w:p>
          <w:p w14:paraId="31004A24" w14:textId="77777777" w:rsidR="00D5100E" w:rsidRPr="00AF73B5" w:rsidRDefault="00D5100E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0A81F8D3" w14:textId="77777777" w:rsidR="00D5100E" w:rsidRPr="00AF73B5" w:rsidRDefault="00D5100E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4B053F74" w14:textId="77777777" w:rsidR="00D5100E" w:rsidRPr="00AF73B5" w:rsidRDefault="00D5100E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389A1FFA" w14:textId="77777777" w:rsidR="00D5100E" w:rsidRPr="00AF73B5" w:rsidRDefault="00D5100E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507FFD10" w14:textId="77777777" w:rsidR="00D5100E" w:rsidRPr="00AF73B5" w:rsidRDefault="00D5100E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2B587D6C" w14:textId="77777777" w:rsidR="00D5100E" w:rsidRPr="00AF73B5" w:rsidRDefault="00D5100E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639E159B" w14:textId="77777777" w:rsidR="00D5100E" w:rsidRPr="00AF73B5" w:rsidRDefault="00D5100E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</w:p>
          <w:p w14:paraId="6FDDE9B5" w14:textId="42AFD5D1" w:rsidR="00D5100E" w:rsidRPr="00AF73B5" w:rsidRDefault="00D5100E" w:rsidP="00D225D6">
            <w:pPr>
              <w:spacing w:after="0"/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AF73B5">
              <w:rPr>
                <w:rFonts w:eastAsia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</w:tr>
    </w:tbl>
    <w:p w14:paraId="6A868C07" w14:textId="2BCA2961" w:rsidR="00D225D6" w:rsidRPr="00AF73B5" w:rsidRDefault="00D225D6" w:rsidP="00D225D6">
      <w:pPr>
        <w:spacing w:after="0"/>
        <w:rPr>
          <w:rFonts w:eastAsia="Times New Roman" w:cs="Times New Roman"/>
          <w:sz w:val="26"/>
          <w:szCs w:val="26"/>
          <w:lang w:val="uk-UA" w:eastAsia="ru-RU"/>
        </w:rPr>
      </w:pPr>
      <w:bookmarkStart w:id="3" w:name="n248"/>
      <w:bookmarkEnd w:id="3"/>
    </w:p>
    <w:sectPr w:rsidR="00D225D6" w:rsidRPr="00AF73B5" w:rsidSect="007B0E23">
      <w:headerReference w:type="default" r:id="rId10"/>
      <w:footerReference w:type="default" r:id="rId11"/>
      <w:headerReference w:type="first" r:id="rId12"/>
      <w:pgSz w:w="11906" w:h="16838" w:code="9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8AB3C" w14:textId="77777777" w:rsidR="00B13BB0" w:rsidRDefault="00B13BB0" w:rsidP="00D93BBC">
      <w:pPr>
        <w:spacing w:after="0"/>
      </w:pPr>
      <w:r>
        <w:separator/>
      </w:r>
    </w:p>
  </w:endnote>
  <w:endnote w:type="continuationSeparator" w:id="0">
    <w:p w14:paraId="00F97576" w14:textId="77777777" w:rsidR="00B13BB0" w:rsidRDefault="00B13BB0" w:rsidP="00D93B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DDCF2" w14:textId="4D400D2C" w:rsidR="00D93BBC" w:rsidRDefault="00D93BBC" w:rsidP="00AD3FFD">
    <w:pPr>
      <w:pStyle w:val="a7"/>
    </w:pPr>
  </w:p>
  <w:p w14:paraId="68C45D09" w14:textId="77777777" w:rsidR="00D93BBC" w:rsidRDefault="00D93B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1F979" w14:textId="77777777" w:rsidR="00B13BB0" w:rsidRDefault="00B13BB0" w:rsidP="00D93BBC">
      <w:pPr>
        <w:spacing w:after="0"/>
      </w:pPr>
      <w:r>
        <w:separator/>
      </w:r>
    </w:p>
  </w:footnote>
  <w:footnote w:type="continuationSeparator" w:id="0">
    <w:p w14:paraId="566AD251" w14:textId="77777777" w:rsidR="00B13BB0" w:rsidRDefault="00B13BB0" w:rsidP="00D93BB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2013765"/>
      <w:docPartObj>
        <w:docPartGallery w:val="Page Numbers (Top of Page)"/>
        <w:docPartUnique/>
      </w:docPartObj>
    </w:sdtPr>
    <w:sdtContent>
      <w:p w14:paraId="19DA6167" w14:textId="20E47E35" w:rsidR="005C7879" w:rsidRDefault="005C78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0784C2F" w14:textId="77777777" w:rsidR="005C7879" w:rsidRDefault="005C787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8D726" w14:textId="10B7BA0E" w:rsidR="00AD3FFD" w:rsidRDefault="00AD3FFD">
    <w:pPr>
      <w:pStyle w:val="a5"/>
      <w:jc w:val="center"/>
    </w:pPr>
  </w:p>
  <w:p w14:paraId="3FEA7BD0" w14:textId="77777777" w:rsidR="00AD3FFD" w:rsidRDefault="00AD3F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32" style="width:0;height:0" o:bullet="t" o:hrstd="t" o:hrnoshade="t" o:hr="t" fillcolor="black" stroked="f"/>
    </w:pict>
  </w:numPicBullet>
  <w:abstractNum w:abstractNumId="0" w15:restartNumberingAfterBreak="0">
    <w:nsid w:val="4F82701F"/>
    <w:multiLevelType w:val="hybridMultilevel"/>
    <w:tmpl w:val="6100BA40"/>
    <w:lvl w:ilvl="0" w:tplc="D8C6B9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F6A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9E0E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B220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EEA3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4847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DE53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2E6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9650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87891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5D6"/>
    <w:rsid w:val="000278E6"/>
    <w:rsid w:val="000418D4"/>
    <w:rsid w:val="000801F7"/>
    <w:rsid w:val="00084575"/>
    <w:rsid w:val="00094E34"/>
    <w:rsid w:val="000B2C9E"/>
    <w:rsid w:val="000C2EBC"/>
    <w:rsid w:val="000C5F2B"/>
    <w:rsid w:val="000D629C"/>
    <w:rsid w:val="000E629F"/>
    <w:rsid w:val="0010352B"/>
    <w:rsid w:val="00107C95"/>
    <w:rsid w:val="001168F3"/>
    <w:rsid w:val="00122C5C"/>
    <w:rsid w:val="001335F7"/>
    <w:rsid w:val="00135155"/>
    <w:rsid w:val="00185B27"/>
    <w:rsid w:val="00185F18"/>
    <w:rsid w:val="001976D4"/>
    <w:rsid w:val="001A5BBF"/>
    <w:rsid w:val="002126D9"/>
    <w:rsid w:val="0021592B"/>
    <w:rsid w:val="002230B8"/>
    <w:rsid w:val="00225F1F"/>
    <w:rsid w:val="002342CC"/>
    <w:rsid w:val="00264731"/>
    <w:rsid w:val="00276595"/>
    <w:rsid w:val="00291B33"/>
    <w:rsid w:val="00294B06"/>
    <w:rsid w:val="0029784E"/>
    <w:rsid w:val="002A0CA7"/>
    <w:rsid w:val="002A22F0"/>
    <w:rsid w:val="002B77C2"/>
    <w:rsid w:val="002B7D4D"/>
    <w:rsid w:val="0030644F"/>
    <w:rsid w:val="003104D6"/>
    <w:rsid w:val="00313EB7"/>
    <w:rsid w:val="00323F46"/>
    <w:rsid w:val="00327558"/>
    <w:rsid w:val="00332C71"/>
    <w:rsid w:val="003473CD"/>
    <w:rsid w:val="00353336"/>
    <w:rsid w:val="00354580"/>
    <w:rsid w:val="00355D77"/>
    <w:rsid w:val="00390E15"/>
    <w:rsid w:val="0039177A"/>
    <w:rsid w:val="0039794C"/>
    <w:rsid w:val="003A3EDB"/>
    <w:rsid w:val="003C22F3"/>
    <w:rsid w:val="003C4BB4"/>
    <w:rsid w:val="003C5C19"/>
    <w:rsid w:val="003D6D28"/>
    <w:rsid w:val="003E6CD1"/>
    <w:rsid w:val="003F5116"/>
    <w:rsid w:val="00403877"/>
    <w:rsid w:val="00407DDB"/>
    <w:rsid w:val="00426B77"/>
    <w:rsid w:val="00457C94"/>
    <w:rsid w:val="00473959"/>
    <w:rsid w:val="00480B4E"/>
    <w:rsid w:val="004B026E"/>
    <w:rsid w:val="004D1A75"/>
    <w:rsid w:val="00506CC5"/>
    <w:rsid w:val="00517512"/>
    <w:rsid w:val="00567EEF"/>
    <w:rsid w:val="00581ACE"/>
    <w:rsid w:val="005876EC"/>
    <w:rsid w:val="005A185B"/>
    <w:rsid w:val="005C01EE"/>
    <w:rsid w:val="005C7879"/>
    <w:rsid w:val="0063551B"/>
    <w:rsid w:val="006500FA"/>
    <w:rsid w:val="006567DD"/>
    <w:rsid w:val="00657190"/>
    <w:rsid w:val="006A6A17"/>
    <w:rsid w:val="006C0B77"/>
    <w:rsid w:val="006C7E7A"/>
    <w:rsid w:val="006E18F1"/>
    <w:rsid w:val="006E1B32"/>
    <w:rsid w:val="006F4911"/>
    <w:rsid w:val="0072359C"/>
    <w:rsid w:val="007339C0"/>
    <w:rsid w:val="007521DC"/>
    <w:rsid w:val="007570C4"/>
    <w:rsid w:val="007B0E23"/>
    <w:rsid w:val="007B6627"/>
    <w:rsid w:val="007B670D"/>
    <w:rsid w:val="007C0AB6"/>
    <w:rsid w:val="007D43C4"/>
    <w:rsid w:val="00815EDB"/>
    <w:rsid w:val="00817184"/>
    <w:rsid w:val="0081734E"/>
    <w:rsid w:val="00820ED1"/>
    <w:rsid w:val="008242FF"/>
    <w:rsid w:val="0086191B"/>
    <w:rsid w:val="00865701"/>
    <w:rsid w:val="00870751"/>
    <w:rsid w:val="0087111A"/>
    <w:rsid w:val="0088143D"/>
    <w:rsid w:val="008B4D6C"/>
    <w:rsid w:val="008F4D93"/>
    <w:rsid w:val="00900E1B"/>
    <w:rsid w:val="00922C48"/>
    <w:rsid w:val="00941047"/>
    <w:rsid w:val="009840B3"/>
    <w:rsid w:val="009870BF"/>
    <w:rsid w:val="00997469"/>
    <w:rsid w:val="009A3B59"/>
    <w:rsid w:val="009B1666"/>
    <w:rsid w:val="009B3DBB"/>
    <w:rsid w:val="00A15EAC"/>
    <w:rsid w:val="00A523CE"/>
    <w:rsid w:val="00A52DE7"/>
    <w:rsid w:val="00A53E34"/>
    <w:rsid w:val="00A87418"/>
    <w:rsid w:val="00AB10CA"/>
    <w:rsid w:val="00AC5D66"/>
    <w:rsid w:val="00AD3FFD"/>
    <w:rsid w:val="00AE6C1B"/>
    <w:rsid w:val="00AF3B2A"/>
    <w:rsid w:val="00AF73B5"/>
    <w:rsid w:val="00B00D9F"/>
    <w:rsid w:val="00B02403"/>
    <w:rsid w:val="00B13BB0"/>
    <w:rsid w:val="00B16E41"/>
    <w:rsid w:val="00B2213A"/>
    <w:rsid w:val="00B4022F"/>
    <w:rsid w:val="00B53769"/>
    <w:rsid w:val="00B66FB6"/>
    <w:rsid w:val="00B70C91"/>
    <w:rsid w:val="00B91014"/>
    <w:rsid w:val="00B915B7"/>
    <w:rsid w:val="00B92264"/>
    <w:rsid w:val="00BA06B2"/>
    <w:rsid w:val="00BB21B0"/>
    <w:rsid w:val="00BB6758"/>
    <w:rsid w:val="00BB7624"/>
    <w:rsid w:val="00BC4DE5"/>
    <w:rsid w:val="00BE4085"/>
    <w:rsid w:val="00BF0BF1"/>
    <w:rsid w:val="00BF784A"/>
    <w:rsid w:val="00C05C78"/>
    <w:rsid w:val="00C21BD7"/>
    <w:rsid w:val="00C45075"/>
    <w:rsid w:val="00C50258"/>
    <w:rsid w:val="00C927D1"/>
    <w:rsid w:val="00CA4335"/>
    <w:rsid w:val="00CC2765"/>
    <w:rsid w:val="00CE2345"/>
    <w:rsid w:val="00D0399F"/>
    <w:rsid w:val="00D1042F"/>
    <w:rsid w:val="00D21711"/>
    <w:rsid w:val="00D225D6"/>
    <w:rsid w:val="00D3230F"/>
    <w:rsid w:val="00D46028"/>
    <w:rsid w:val="00D5100E"/>
    <w:rsid w:val="00D614A8"/>
    <w:rsid w:val="00D82466"/>
    <w:rsid w:val="00D93BBC"/>
    <w:rsid w:val="00DC7E27"/>
    <w:rsid w:val="00DE58AA"/>
    <w:rsid w:val="00DF27B8"/>
    <w:rsid w:val="00E003B8"/>
    <w:rsid w:val="00E0463E"/>
    <w:rsid w:val="00E118F7"/>
    <w:rsid w:val="00E22B78"/>
    <w:rsid w:val="00E65649"/>
    <w:rsid w:val="00E70D45"/>
    <w:rsid w:val="00E85FF4"/>
    <w:rsid w:val="00EA1E3B"/>
    <w:rsid w:val="00EA59DF"/>
    <w:rsid w:val="00EB19FF"/>
    <w:rsid w:val="00EC47FE"/>
    <w:rsid w:val="00EC79FB"/>
    <w:rsid w:val="00ED38F0"/>
    <w:rsid w:val="00EE4070"/>
    <w:rsid w:val="00EE425D"/>
    <w:rsid w:val="00EF519D"/>
    <w:rsid w:val="00F12C76"/>
    <w:rsid w:val="00F341E7"/>
    <w:rsid w:val="00F36184"/>
    <w:rsid w:val="00F50C89"/>
    <w:rsid w:val="00F50ED9"/>
    <w:rsid w:val="00F51F49"/>
    <w:rsid w:val="00F64DA1"/>
    <w:rsid w:val="00F9461C"/>
    <w:rsid w:val="00FA5FF6"/>
    <w:rsid w:val="00FC6426"/>
    <w:rsid w:val="00FD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3C3F0"/>
  <w15:chartTrackingRefBased/>
  <w15:docId w15:val="{F372DFAF-BF51-40C0-AF0B-A84BB9C0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395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395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D93BBC"/>
    <w:pPr>
      <w:tabs>
        <w:tab w:val="center" w:pos="4819"/>
        <w:tab w:val="right" w:pos="9639"/>
      </w:tabs>
      <w:spacing w:after="0"/>
    </w:pPr>
  </w:style>
  <w:style w:type="character" w:customStyle="1" w:styleId="a6">
    <w:name w:val="Верхній колонтитул Знак"/>
    <w:basedOn w:val="a0"/>
    <w:link w:val="a5"/>
    <w:uiPriority w:val="99"/>
    <w:rsid w:val="00D93BBC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3BBC"/>
    <w:pPr>
      <w:tabs>
        <w:tab w:val="center" w:pos="4819"/>
        <w:tab w:val="right" w:pos="9639"/>
      </w:tabs>
      <w:spacing w:after="0"/>
    </w:pPr>
  </w:style>
  <w:style w:type="character" w:customStyle="1" w:styleId="a8">
    <w:name w:val="Нижній колонтитул Знак"/>
    <w:basedOn w:val="a0"/>
    <w:link w:val="a7"/>
    <w:uiPriority w:val="99"/>
    <w:rsid w:val="00D93BBC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D93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1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64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0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5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1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0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60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38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94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13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93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1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32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34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32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45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630-2021-%D0%BF/prin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57-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61FE5-7E4F-4423-A271-8ED8BA73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4514</Words>
  <Characters>2574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</dc:creator>
  <cp:keywords/>
  <dc:description/>
  <cp:lastModifiedBy>Alina</cp:lastModifiedBy>
  <cp:revision>30</cp:revision>
  <cp:lastPrinted>2025-11-13T12:18:00Z</cp:lastPrinted>
  <dcterms:created xsi:type="dcterms:W3CDTF">2025-10-06T11:36:00Z</dcterms:created>
  <dcterms:modified xsi:type="dcterms:W3CDTF">2025-11-13T12:19:00Z</dcterms:modified>
</cp:coreProperties>
</file>